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F60C3" w14:textId="59CA8C8D" w:rsidR="008C3D87" w:rsidRDefault="00DE58AA" w:rsidP="00C811F1">
      <w:pPr>
        <w:pStyle w:val="Title"/>
        <w:pBdr>
          <w:bottom w:val="single" w:sz="4" w:space="1" w:color="auto"/>
        </w:pBdr>
        <w:jc w:val="center"/>
      </w:pPr>
      <w:r>
        <w:t xml:space="preserve">Weekly </w:t>
      </w:r>
      <w:r w:rsidR="00C811F1">
        <w:t>Media Services</w:t>
      </w:r>
      <w:r>
        <w:t xml:space="preserve"> Process</w:t>
      </w:r>
    </w:p>
    <w:p w14:paraId="128DD130" w14:textId="77777777" w:rsidR="00E633BA" w:rsidRPr="00E633BA" w:rsidRDefault="00E633BA" w:rsidP="00E633BA"/>
    <w:p w14:paraId="235FA0CA" w14:textId="435AF8BA" w:rsidR="00766C7E" w:rsidRDefault="00DE58AA" w:rsidP="00DE58AA">
      <w:pPr>
        <w:pStyle w:val="Heading2"/>
        <w:jc w:val="center"/>
        <w:rPr>
          <w:rStyle w:val="Strong"/>
          <w:color w:val="000000" w:themeColor="text1"/>
        </w:rPr>
      </w:pPr>
      <w:r>
        <w:rPr>
          <w:rStyle w:val="Strong"/>
          <w:color w:val="000000" w:themeColor="text1"/>
        </w:rPr>
        <w:t xml:space="preserve">NOTE: </w:t>
      </w:r>
      <w:r w:rsidRPr="00DE58AA">
        <w:rPr>
          <w:rStyle w:val="Strong"/>
          <w:color w:val="000000" w:themeColor="text1"/>
        </w:rPr>
        <w:t>All people being paid through Media Services are W2 employees rather than 1099 Contractors so rules that apply to W2s apply (e.g. overtime)</w:t>
      </w:r>
    </w:p>
    <w:p w14:paraId="4A6B0F14" w14:textId="082E51BB" w:rsidR="00DE58AA" w:rsidRDefault="00DE58AA" w:rsidP="00DE58AA"/>
    <w:p w14:paraId="7B5817FD" w14:textId="24BD0395" w:rsidR="00DE58AA" w:rsidRPr="00CF1ECB" w:rsidRDefault="00DE58AA" w:rsidP="00DE58AA">
      <w:pPr>
        <w:pStyle w:val="ListParagraph"/>
        <w:numPr>
          <w:ilvl w:val="0"/>
          <w:numId w:val="4"/>
        </w:numPr>
      </w:pPr>
      <w:r>
        <w:t>Employees need to submit their Media Services Timecard for the prior week each week by 10am Monday (</w:t>
      </w:r>
      <w:r>
        <w:rPr>
          <w:i/>
          <w:iCs/>
        </w:rPr>
        <w:t>Note: Unlike ADP, Payroll does not have a straightforward way of checking for incomplete timecards</w:t>
      </w:r>
      <w:r w:rsidR="00120369">
        <w:rPr>
          <w:i/>
          <w:iCs/>
        </w:rPr>
        <w:t>, so the first approver will need to reach out to any employees who have not completed and submitted their timecard)</w:t>
      </w:r>
    </w:p>
    <w:p w14:paraId="24430F5B" w14:textId="479043A3" w:rsidR="00113880" w:rsidRDefault="00CF1ECB" w:rsidP="00113880">
      <w:pPr>
        <w:pStyle w:val="ListParagraph"/>
        <w:numPr>
          <w:ilvl w:val="0"/>
          <w:numId w:val="4"/>
        </w:numPr>
      </w:pPr>
      <w:r>
        <w:t>Review your reports timecards for correct location, hours, and any reimbursements.</w:t>
      </w:r>
    </w:p>
    <w:p w14:paraId="6E7E323B" w14:textId="03B28E88" w:rsidR="00113880" w:rsidRDefault="00113880" w:rsidP="00113880">
      <w:pPr>
        <w:pStyle w:val="ListParagraph"/>
        <w:numPr>
          <w:ilvl w:val="1"/>
          <w:numId w:val="4"/>
        </w:numPr>
      </w:pPr>
      <w:r>
        <w:t xml:space="preserve">Location (highlighted below should reflect where the work is being done, not the person’s residence (unless they’re working remotely), </w:t>
      </w:r>
      <w:r w:rsidRPr="00113880">
        <w:rPr>
          <w:noProof/>
        </w:rPr>
        <w:drawing>
          <wp:inline distT="0" distB="0" distL="0" distR="0" wp14:anchorId="5F210A3C" wp14:editId="416AA08F">
            <wp:extent cx="4200525" cy="885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3762" r="-931" b="36057"/>
                    <a:stretch/>
                  </pic:blipFill>
                  <pic:spPr bwMode="auto">
                    <a:xfrm>
                      <a:off x="0" y="0"/>
                      <a:ext cx="4226093" cy="891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7882F6" w14:textId="398B143B" w:rsidR="00113880" w:rsidRPr="00120369" w:rsidRDefault="00113880" w:rsidP="00113880">
      <w:pPr>
        <w:pStyle w:val="ListParagraph"/>
        <w:numPr>
          <w:ilvl w:val="1"/>
          <w:numId w:val="4"/>
        </w:numPr>
      </w:pPr>
      <w:r>
        <w:t>If the reimbursements don’t have receipts/backup attached they will be treated as taxable wages, you can click the paperclip to view the backup</w:t>
      </w:r>
      <w:r w:rsidRPr="00113880">
        <w:rPr>
          <w:noProof/>
        </w:rPr>
        <w:drawing>
          <wp:inline distT="0" distB="0" distL="0" distR="0" wp14:anchorId="2793DF65" wp14:editId="6EEDF5DD">
            <wp:extent cx="5353797" cy="752580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53797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C4AD8" w14:textId="49652D75" w:rsidR="00120369" w:rsidRDefault="00CF1ECB" w:rsidP="00DE58AA">
      <w:pPr>
        <w:pStyle w:val="ListParagraph"/>
        <w:numPr>
          <w:ilvl w:val="0"/>
          <w:numId w:val="4"/>
        </w:numPr>
      </w:pPr>
      <w:r>
        <w:t xml:space="preserve">By EOB Monday, please approve any timecards for your reports </w:t>
      </w:r>
    </w:p>
    <w:p w14:paraId="61641818" w14:textId="2C241F87" w:rsidR="00CF1ECB" w:rsidRDefault="00CF1ECB" w:rsidP="00DE58AA">
      <w:pPr>
        <w:pStyle w:val="ListParagraph"/>
        <w:numPr>
          <w:ilvl w:val="0"/>
          <w:numId w:val="4"/>
        </w:numPr>
      </w:pPr>
      <w:r>
        <w:t xml:space="preserve">On Tuesday </w:t>
      </w:r>
      <w:r w:rsidR="007F2AAB">
        <w:t>Payroll will do a secondary approval of the timecards and submit them</w:t>
      </w:r>
      <w:r>
        <w:t xml:space="preserve"> to Media Services</w:t>
      </w:r>
    </w:p>
    <w:p w14:paraId="3FC44439" w14:textId="30946170" w:rsidR="00CF1ECB" w:rsidRDefault="007F2AAB" w:rsidP="00DE58AA">
      <w:pPr>
        <w:pStyle w:val="ListParagraph"/>
        <w:numPr>
          <w:ilvl w:val="0"/>
          <w:numId w:val="4"/>
        </w:numPr>
      </w:pPr>
      <w:r>
        <w:t xml:space="preserve">Wednesday (usually) we receive invoices from Media Services, Payroll will send those to Accounting and the initial approver for Approval. </w:t>
      </w:r>
    </w:p>
    <w:p w14:paraId="1EFF5836" w14:textId="791550E7" w:rsidR="00C26080" w:rsidRDefault="007F2AAB" w:rsidP="00C26080">
      <w:pPr>
        <w:pStyle w:val="ListParagraph"/>
        <w:numPr>
          <w:ilvl w:val="0"/>
          <w:numId w:val="4"/>
        </w:numPr>
      </w:pPr>
      <w:r>
        <w:t xml:space="preserve">Review the Invoice for correct location, hours, earnings, and any reimbursements. </w:t>
      </w:r>
      <w:r w:rsidR="00D6606C">
        <w:t>The “</w:t>
      </w:r>
      <w:r w:rsidR="00D6606C">
        <w:rPr>
          <w:b/>
          <w:bCs/>
        </w:rPr>
        <w:t xml:space="preserve">Earnings &amp; Deduction </w:t>
      </w:r>
      <w:r w:rsidR="00C26080">
        <w:rPr>
          <w:b/>
          <w:bCs/>
        </w:rPr>
        <w:t>Register</w:t>
      </w:r>
      <w:r w:rsidR="00C26080">
        <w:t>“(</w:t>
      </w:r>
      <w:r w:rsidR="00D6606C">
        <w:t>usually</w:t>
      </w:r>
      <w:r w:rsidR="00C26080">
        <w:t xml:space="preserve"> starting with the</w:t>
      </w:r>
      <w:r w:rsidR="00D6606C">
        <w:t xml:space="preserve"> second to last page</w:t>
      </w:r>
      <w:r w:rsidR="00A50670">
        <w:t xml:space="preserve"> of the invoice</w:t>
      </w:r>
      <w:r w:rsidR="00D6606C">
        <w:t>) is a good spot to look.</w:t>
      </w:r>
      <w:r w:rsidR="00C26080" w:rsidRPr="00C26080">
        <w:rPr>
          <w:noProof/>
        </w:rPr>
        <w:t xml:space="preserve"> </w:t>
      </w:r>
      <w:r w:rsidR="00C26080">
        <w:rPr>
          <w:noProof/>
        </w:rPr>
        <w:t xml:space="preserve"> </w:t>
      </w:r>
      <w:r w:rsidRPr="00D6606C">
        <w:t>Accounting</w:t>
      </w:r>
      <w:r>
        <w:t xml:space="preserve"> will also provide Client Invoices for Approval</w:t>
      </w:r>
      <w:r w:rsidR="000F694C">
        <w:t xml:space="preserve"> if required</w:t>
      </w:r>
    </w:p>
    <w:p w14:paraId="5CEC1029" w14:textId="1584ACFB" w:rsidR="007F2AAB" w:rsidRDefault="007F2AAB" w:rsidP="007F2AAB">
      <w:pPr>
        <w:pStyle w:val="ListParagraph"/>
        <w:numPr>
          <w:ilvl w:val="0"/>
          <w:numId w:val="4"/>
        </w:numPr>
      </w:pPr>
      <w:r>
        <w:t>Provide your approval or any questions to Payroll &amp; Accounting before EOB on the day you receive the invoice</w:t>
      </w:r>
    </w:p>
    <w:p w14:paraId="1DECDD72" w14:textId="3C02AE78" w:rsidR="007F2AAB" w:rsidRDefault="007F2AAB" w:rsidP="007F2AAB">
      <w:pPr>
        <w:pStyle w:val="ListParagraph"/>
        <w:numPr>
          <w:ilvl w:val="0"/>
          <w:numId w:val="4"/>
        </w:numPr>
      </w:pPr>
      <w:r>
        <w:t>Payroll will Approve the Invoice in Media Services after receiving your approval.</w:t>
      </w:r>
    </w:p>
    <w:p w14:paraId="14005769" w14:textId="3568095D" w:rsidR="00934B6F" w:rsidRDefault="00934B6F" w:rsidP="00934B6F"/>
    <w:p w14:paraId="733C00D6" w14:textId="77777777" w:rsidR="00934B6F" w:rsidRPr="00DE58AA" w:rsidRDefault="00934B6F" w:rsidP="00934B6F"/>
    <w:p w14:paraId="58B5931D" w14:textId="48D9AB95" w:rsidR="00DE58AA" w:rsidRDefault="00DE58AA" w:rsidP="00DE58AA"/>
    <w:p w14:paraId="61984A1E" w14:textId="77777777" w:rsidR="00DE58AA" w:rsidRPr="00DE58AA" w:rsidRDefault="00DE58AA" w:rsidP="00DE58AA">
      <w:pPr>
        <w:pStyle w:val="Heading3"/>
      </w:pPr>
    </w:p>
    <w:sectPr w:rsidR="00DE58AA" w:rsidRPr="00DE5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D4720"/>
    <w:multiLevelType w:val="hybridMultilevel"/>
    <w:tmpl w:val="633C943A"/>
    <w:lvl w:ilvl="0" w:tplc="54A6B6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60507"/>
    <w:multiLevelType w:val="hybridMultilevel"/>
    <w:tmpl w:val="E020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639A4"/>
    <w:multiLevelType w:val="hybridMultilevel"/>
    <w:tmpl w:val="34089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92A4F"/>
    <w:multiLevelType w:val="hybridMultilevel"/>
    <w:tmpl w:val="E020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756E3"/>
    <w:multiLevelType w:val="hybridMultilevel"/>
    <w:tmpl w:val="E020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87"/>
    <w:rsid w:val="000D3D57"/>
    <w:rsid w:val="000F694C"/>
    <w:rsid w:val="00113880"/>
    <w:rsid w:val="00120369"/>
    <w:rsid w:val="00131BB5"/>
    <w:rsid w:val="001B7EAA"/>
    <w:rsid w:val="00270E73"/>
    <w:rsid w:val="0054033B"/>
    <w:rsid w:val="00615CE7"/>
    <w:rsid w:val="00695417"/>
    <w:rsid w:val="006B1FE6"/>
    <w:rsid w:val="00766C7E"/>
    <w:rsid w:val="007F2AAB"/>
    <w:rsid w:val="00816215"/>
    <w:rsid w:val="00856BA4"/>
    <w:rsid w:val="008C3D87"/>
    <w:rsid w:val="00934B6F"/>
    <w:rsid w:val="00A50670"/>
    <w:rsid w:val="00AF6A11"/>
    <w:rsid w:val="00C26080"/>
    <w:rsid w:val="00C811F1"/>
    <w:rsid w:val="00C834A2"/>
    <w:rsid w:val="00CD65C7"/>
    <w:rsid w:val="00CF1ECB"/>
    <w:rsid w:val="00CF689A"/>
    <w:rsid w:val="00D6606C"/>
    <w:rsid w:val="00DE58AA"/>
    <w:rsid w:val="00E633BA"/>
    <w:rsid w:val="00F22C2B"/>
    <w:rsid w:val="00F3775A"/>
    <w:rsid w:val="00F51B88"/>
    <w:rsid w:val="00FD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20039"/>
  <w15:chartTrackingRefBased/>
  <w15:docId w15:val="{F550F42B-712F-4A00-9361-CC58A4F56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77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58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58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D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3D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3D8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377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377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77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E58AA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DE58A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58A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D589E-17B8-49FF-956E-272BFCDB8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 Brown</dc:creator>
  <cp:keywords/>
  <dc:description/>
  <cp:lastModifiedBy>Geb Brown</cp:lastModifiedBy>
  <cp:revision>11</cp:revision>
  <cp:lastPrinted>2020-10-01T16:39:00Z</cp:lastPrinted>
  <dcterms:created xsi:type="dcterms:W3CDTF">2020-10-01T16:40:00Z</dcterms:created>
  <dcterms:modified xsi:type="dcterms:W3CDTF">2020-12-03T19:44:00Z</dcterms:modified>
</cp:coreProperties>
</file>